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8DE470" w14:textId="51088F04" w:rsidR="00CD4CF3" w:rsidRPr="00CD4CF3" w:rsidRDefault="00CD4CF3">
      <w:pPr>
        <w:rPr>
          <w:rFonts w:ascii="ＭＳ ゴシック" w:eastAsia="ＭＳ ゴシック" w:hAnsi="ＭＳ ゴシック"/>
          <w:sz w:val="22"/>
          <w:szCs w:val="24"/>
          <w:bdr w:val="single" w:sz="4" w:space="0" w:color="auto"/>
        </w:rPr>
      </w:pPr>
      <w:r w:rsidRPr="00CD4CF3">
        <w:rPr>
          <w:rFonts w:ascii="ＭＳ ゴシック" w:eastAsia="ＭＳ ゴシック" w:hAnsi="ＭＳ ゴシック" w:hint="eastAsia"/>
          <w:sz w:val="22"/>
          <w:szCs w:val="24"/>
          <w:bdr w:val="single" w:sz="4" w:space="0" w:color="auto"/>
        </w:rPr>
        <w:t>資料</w:t>
      </w:r>
      <w:r w:rsidR="0090461D">
        <w:rPr>
          <w:rFonts w:ascii="ＭＳ ゴシック" w:eastAsia="ＭＳ ゴシック" w:hAnsi="ＭＳ ゴシック" w:hint="eastAsia"/>
          <w:sz w:val="22"/>
          <w:szCs w:val="24"/>
          <w:bdr w:val="single" w:sz="4" w:space="0" w:color="auto"/>
        </w:rPr>
        <w:t xml:space="preserve">　　　　2025年1月14日　　大阪社会保障推進協議会介護保険対策委員会</w:t>
      </w:r>
    </w:p>
    <w:p w14:paraId="70669B1C" w14:textId="1B1AD2B8" w:rsidR="00A4729D" w:rsidRPr="00A51A7D" w:rsidRDefault="00AF35AA">
      <w:pPr>
        <w:rPr>
          <w:rFonts w:ascii="ＭＳ ゴシック" w:eastAsia="ＭＳ ゴシック" w:hAnsi="ＭＳ ゴシック"/>
          <w:sz w:val="24"/>
          <w:szCs w:val="28"/>
        </w:rPr>
      </w:pPr>
      <w:r w:rsidRPr="00A51A7D">
        <w:rPr>
          <w:rFonts w:ascii="ＭＳ ゴシック" w:eastAsia="ＭＳ ゴシック" w:hAnsi="ＭＳ ゴシック" w:hint="eastAsia"/>
          <w:sz w:val="24"/>
          <w:szCs w:val="28"/>
        </w:rPr>
        <w:t>訪問介護の報酬引き下げ撤回・介護報酬再改定を求める意見書採択</w:t>
      </w:r>
      <w:r w:rsidR="00CD4CF3" w:rsidRPr="00A51A7D">
        <w:rPr>
          <w:rFonts w:ascii="ＭＳ ゴシック" w:eastAsia="ＭＳ ゴシック" w:hAnsi="ＭＳ ゴシック" w:hint="eastAsia"/>
          <w:sz w:val="24"/>
          <w:szCs w:val="28"/>
        </w:rPr>
        <w:t>のために</w:t>
      </w:r>
    </w:p>
    <w:p w14:paraId="3AB8179A" w14:textId="05C1A9D7" w:rsidR="00CD4CF3" w:rsidRDefault="0090461D" w:rsidP="00CD4CF3">
      <w:pPr>
        <w:ind w:firstLineChars="100" w:firstLine="220"/>
        <w:rPr>
          <w:rFonts w:ascii="ＭＳ ゴシック" w:eastAsia="ＭＳ ゴシック" w:hAnsi="ＭＳ ゴシック"/>
          <w:sz w:val="22"/>
          <w:szCs w:val="24"/>
        </w:rPr>
      </w:pPr>
      <w:r>
        <w:rPr>
          <w:rFonts w:ascii="ＭＳ ゴシック" w:eastAsia="ＭＳ ゴシック" w:hAnsi="ＭＳ ゴシック" w:hint="eastAsia"/>
          <w:sz w:val="22"/>
          <w:szCs w:val="24"/>
        </w:rPr>
        <w:t>Q&amp;A</w:t>
      </w:r>
    </w:p>
    <w:p w14:paraId="786C9E61" w14:textId="5A87C3B4" w:rsidR="00CD4CF3" w:rsidRPr="00A51A7D" w:rsidRDefault="00CD4CF3">
      <w:pPr>
        <w:rPr>
          <w:rFonts w:ascii="ＭＳ ゴシック" w:eastAsia="ＭＳ ゴシック" w:hAnsi="ＭＳ ゴシック"/>
          <w:sz w:val="28"/>
          <w:szCs w:val="32"/>
        </w:rPr>
      </w:pPr>
      <w:r w:rsidRPr="00A51A7D">
        <w:rPr>
          <w:rFonts w:ascii="ＭＳ ゴシック" w:eastAsia="ＭＳ ゴシック" w:hAnsi="ＭＳ ゴシック" w:hint="eastAsia"/>
          <w:sz w:val="28"/>
          <w:szCs w:val="32"/>
        </w:rPr>
        <w:t>１　訪問介護の報酬引き下げ問題とは何ですか</w:t>
      </w:r>
    </w:p>
    <w:p w14:paraId="1E089651" w14:textId="77777777" w:rsidR="00A51A7D" w:rsidRDefault="00CD4CF3">
      <w:pPr>
        <w:rPr>
          <w:rFonts w:ascii="ＭＳ 明朝" w:eastAsia="ＭＳ 明朝" w:hAnsi="ＭＳ 明朝"/>
          <w:sz w:val="22"/>
          <w:szCs w:val="24"/>
        </w:rPr>
      </w:pPr>
      <w:r>
        <w:rPr>
          <w:rFonts w:ascii="ＭＳ ゴシック" w:eastAsia="ＭＳ ゴシック" w:hAnsi="ＭＳ ゴシック" w:hint="eastAsia"/>
          <w:sz w:val="22"/>
          <w:szCs w:val="24"/>
        </w:rPr>
        <w:t xml:space="preserve">　</w:t>
      </w:r>
      <w:r w:rsidR="00A51A7D">
        <w:rPr>
          <w:rFonts w:ascii="ＭＳ 明朝" w:eastAsia="ＭＳ 明朝" w:hAnsi="ＭＳ 明朝" w:hint="eastAsia"/>
          <w:sz w:val="22"/>
          <w:szCs w:val="24"/>
        </w:rPr>
        <w:t>訪問介護はホームヘルパーが要介護者の自宅を訪問して、食事、排泄、入浴の介助や生活援助を行う在宅介護のかなめというべき大切なサービスです。</w:t>
      </w:r>
    </w:p>
    <w:p w14:paraId="68AA69AA" w14:textId="56EB5AD6" w:rsidR="00CD4CF3" w:rsidRDefault="00CD4CF3" w:rsidP="00A51A7D">
      <w:pPr>
        <w:ind w:firstLineChars="100" w:firstLine="220"/>
        <w:rPr>
          <w:rFonts w:ascii="ＭＳ 明朝" w:eastAsia="ＭＳ 明朝" w:hAnsi="ＭＳ 明朝"/>
          <w:sz w:val="22"/>
          <w:szCs w:val="24"/>
        </w:rPr>
      </w:pPr>
      <w:r w:rsidRPr="00CD4CF3">
        <w:rPr>
          <w:rFonts w:ascii="ＭＳ 明朝" w:eastAsia="ＭＳ 明朝" w:hAnsi="ＭＳ 明朝" w:hint="eastAsia"/>
          <w:sz w:val="22"/>
          <w:szCs w:val="24"/>
        </w:rPr>
        <w:t>介護サービス事業所に介護保険から毎月支払われるお金を「介護報酬」と言います。介護事業所は</w:t>
      </w:r>
      <w:r>
        <w:rPr>
          <w:rFonts w:ascii="ＭＳ 明朝" w:eastAsia="ＭＳ 明朝" w:hAnsi="ＭＳ 明朝" w:hint="eastAsia"/>
          <w:sz w:val="22"/>
          <w:szCs w:val="24"/>
        </w:rPr>
        <w:t>、介護報酬でスタッフの給与や事業所運営経費のすべてを賄っています。国（厚生労働省）は、３年に１回介護報酬は見直してきましたが、低く抑えられてきた。そのため、介護職員の賃金は全産業平均と比べて月７万円も低いなど介護の担い手が大きく不足しています。とくに、訪問介護は有効求人倍率が１５倍前後になるなど深刻な人手不足に陥っていました。</w:t>
      </w:r>
    </w:p>
    <w:p w14:paraId="7EC9A2E6" w14:textId="02A35125" w:rsidR="00CD4CF3" w:rsidRDefault="00CD4CF3">
      <w:pPr>
        <w:rPr>
          <w:rFonts w:ascii="ＭＳ 明朝" w:eastAsia="ＭＳ 明朝" w:hAnsi="ＭＳ 明朝"/>
          <w:sz w:val="22"/>
          <w:szCs w:val="24"/>
        </w:rPr>
      </w:pPr>
      <w:r>
        <w:rPr>
          <w:rFonts w:ascii="ＭＳ 明朝" w:eastAsia="ＭＳ 明朝" w:hAnsi="ＭＳ 明朝" w:hint="eastAsia"/>
          <w:sz w:val="22"/>
          <w:szCs w:val="24"/>
        </w:rPr>
        <w:t xml:space="preserve">　最低賃金も上がり、他産業で</w:t>
      </w:r>
      <w:r w:rsidR="00A51A7D">
        <w:rPr>
          <w:rFonts w:ascii="ＭＳ 明朝" w:eastAsia="ＭＳ 明朝" w:hAnsi="ＭＳ 明朝" w:hint="eastAsia"/>
          <w:sz w:val="22"/>
          <w:szCs w:val="24"/>
        </w:rPr>
        <w:t>も賃上げが進む中で、介護でも処遇改善のため介護報酬の引き上げが求められていました。さらに近年の光熱費などの高騰も介護事業の経営を苦しくしていました。</w:t>
      </w:r>
    </w:p>
    <w:p w14:paraId="38BBD72D" w14:textId="7F0AA6C8" w:rsidR="00A51A7D" w:rsidRDefault="00A51A7D">
      <w:pPr>
        <w:rPr>
          <w:rFonts w:ascii="ＭＳ 明朝" w:eastAsia="ＭＳ 明朝" w:hAnsi="ＭＳ 明朝"/>
          <w:sz w:val="22"/>
          <w:szCs w:val="24"/>
        </w:rPr>
      </w:pPr>
      <w:r>
        <w:rPr>
          <w:rFonts w:ascii="ＭＳ 明朝" w:eastAsia="ＭＳ 明朝" w:hAnsi="ＭＳ 明朝" w:hint="eastAsia"/>
          <w:sz w:val="22"/>
          <w:szCs w:val="24"/>
        </w:rPr>
        <w:t xml:space="preserve">　そうした中で２０２４年度の介護報酬改定は平均１．５９％のプラス改定でしたが、訪問介護だけは２～３％もの引下げの「マイナス改定」となりました。最も人手不足に陥っている訪問介護を狙い撃ちにして報酬を引き下がたため、全国の介護関係者や自治体から大きな批判の声が上がっています。</w:t>
      </w:r>
    </w:p>
    <w:p w14:paraId="39A84C24" w14:textId="453824D1" w:rsidR="000D4D7C" w:rsidRDefault="000D4D7C">
      <w:pPr>
        <w:rPr>
          <w:rFonts w:ascii="ＭＳ 明朝" w:eastAsia="ＭＳ 明朝" w:hAnsi="ＭＳ 明朝"/>
          <w:sz w:val="22"/>
          <w:szCs w:val="24"/>
        </w:rPr>
      </w:pPr>
      <w:r>
        <w:drawing>
          <wp:inline distT="0" distB="0" distL="0" distR="0" wp14:anchorId="15E945B0" wp14:editId="7C02AFE5">
            <wp:extent cx="2911787" cy="2305050"/>
            <wp:effectExtent l="0" t="0" r="0" b="0"/>
            <wp:docPr id="5" name="図 4">
              <a:extLst xmlns:a="http://schemas.openxmlformats.org/drawingml/2006/main">
                <a:ext uri="{FF2B5EF4-FFF2-40B4-BE49-F238E27FC236}">
                  <a16:creationId xmlns:a16="http://schemas.microsoft.com/office/drawing/2014/main" id="{863C5E4D-0DAB-4F8C-02AE-BF6B6350BD8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a:extLst>
                        <a:ext uri="{FF2B5EF4-FFF2-40B4-BE49-F238E27FC236}">
                          <a16:creationId xmlns:a16="http://schemas.microsoft.com/office/drawing/2014/main" id="{863C5E4D-0DAB-4F8C-02AE-BF6B6350BD8B}"/>
                        </a:ext>
                      </a:extLst>
                    </pic:cNvPr>
                    <pic:cNvPicPr>
                      <a:picLocks noChangeAspect="1"/>
                    </pic:cNvPicPr>
                  </pic:nvPicPr>
                  <pic:blipFill>
                    <a:blip r:embed="rId6"/>
                    <a:stretch>
                      <a:fillRect/>
                    </a:stretch>
                  </pic:blipFill>
                  <pic:spPr>
                    <a:xfrm>
                      <a:off x="0" y="0"/>
                      <a:ext cx="2918651" cy="2310484"/>
                    </a:xfrm>
                    <a:prstGeom prst="rect">
                      <a:avLst/>
                    </a:prstGeom>
                  </pic:spPr>
                </pic:pic>
              </a:graphicData>
            </a:graphic>
          </wp:inline>
        </w:drawing>
      </w:r>
    </w:p>
    <w:p w14:paraId="7F87AD4F" w14:textId="333D2C41" w:rsidR="00CD4CF3" w:rsidRPr="0090461D" w:rsidRDefault="00CD4CF3">
      <w:pPr>
        <w:rPr>
          <w:rFonts w:ascii="ＭＳ ゴシック" w:eastAsia="ＭＳ ゴシック" w:hAnsi="ＭＳ ゴシック"/>
          <w:sz w:val="28"/>
          <w:szCs w:val="32"/>
        </w:rPr>
      </w:pPr>
      <w:r w:rsidRPr="0090461D">
        <w:rPr>
          <w:rFonts w:ascii="ＭＳ ゴシック" w:eastAsia="ＭＳ ゴシック" w:hAnsi="ＭＳ ゴシック" w:hint="eastAsia"/>
          <w:sz w:val="28"/>
          <w:szCs w:val="32"/>
        </w:rPr>
        <w:t>２　なぜ下げられたのでしょうか</w:t>
      </w:r>
      <w:r w:rsidR="000D4D7C" w:rsidRPr="0090461D">
        <w:rPr>
          <w:rFonts w:ascii="ＭＳ ゴシック" w:eastAsia="ＭＳ ゴシック" w:hAnsi="ＭＳ ゴシック" w:hint="eastAsia"/>
          <w:sz w:val="28"/>
          <w:szCs w:val="32"/>
        </w:rPr>
        <w:t xml:space="preserve">　</w:t>
      </w:r>
      <w:r w:rsidR="0090461D">
        <w:rPr>
          <w:rFonts w:ascii="ＭＳ ゴシック" w:eastAsia="ＭＳ ゴシック" w:hAnsi="ＭＳ ゴシック" w:hint="eastAsia"/>
          <w:sz w:val="28"/>
          <w:szCs w:val="32"/>
        </w:rPr>
        <w:t xml:space="preserve">　　</w:t>
      </w:r>
      <w:r w:rsidR="00E12156">
        <w:rPr>
          <w:rFonts w:ascii="ＭＳ ゴシック" w:eastAsia="ＭＳ ゴシック" w:hAnsi="ＭＳ ゴシック" w:hint="eastAsia"/>
          <w:sz w:val="28"/>
          <w:szCs w:val="32"/>
        </w:rPr>
        <w:t>～国の</w:t>
      </w:r>
      <w:r w:rsidR="000D4D7C" w:rsidRPr="0090461D">
        <w:rPr>
          <w:rFonts w:ascii="ＭＳ ゴシック" w:eastAsia="ＭＳ ゴシック" w:hAnsi="ＭＳ ゴシック" w:hint="eastAsia"/>
          <w:sz w:val="28"/>
          <w:szCs w:val="32"/>
        </w:rPr>
        <w:t>完全な「失策」</w:t>
      </w:r>
    </w:p>
    <w:p w14:paraId="019DC9A7" w14:textId="3EA81948" w:rsidR="00CD4CF3" w:rsidRDefault="00A51A7D">
      <w:pPr>
        <w:rPr>
          <w:rFonts w:ascii="ＭＳ 明朝" w:eastAsia="ＭＳ 明朝" w:hAnsi="ＭＳ 明朝"/>
          <w:sz w:val="22"/>
          <w:szCs w:val="24"/>
        </w:rPr>
      </w:pPr>
      <w:r w:rsidRPr="00A51A7D">
        <w:rPr>
          <w:rFonts w:ascii="ＭＳ 明朝" w:eastAsia="ＭＳ 明朝" w:hAnsi="ＭＳ 明朝" w:hint="eastAsia"/>
          <w:sz w:val="22"/>
          <w:szCs w:val="24"/>
        </w:rPr>
        <w:t xml:space="preserve">　</w:t>
      </w:r>
      <w:r>
        <w:rPr>
          <w:rFonts w:ascii="ＭＳ 明朝" w:eastAsia="ＭＳ 明朝" w:hAnsi="ＭＳ 明朝" w:hint="eastAsia"/>
          <w:sz w:val="22"/>
          <w:szCs w:val="24"/>
        </w:rPr>
        <w:t>国は、</w:t>
      </w:r>
      <w:r w:rsidRPr="00A51A7D">
        <w:rPr>
          <w:rFonts w:ascii="ＭＳ 明朝" w:eastAsia="ＭＳ 明朝" w:hAnsi="ＭＳ 明朝" w:hint="eastAsia"/>
          <w:sz w:val="22"/>
          <w:szCs w:val="24"/>
        </w:rPr>
        <w:t>訪問介護</w:t>
      </w:r>
      <w:r>
        <w:rPr>
          <w:rFonts w:ascii="ＭＳ 明朝" w:eastAsia="ＭＳ 明朝" w:hAnsi="ＭＳ 明朝" w:hint="eastAsia"/>
          <w:sz w:val="22"/>
          <w:szCs w:val="24"/>
        </w:rPr>
        <w:t>の「収支差率」が</w:t>
      </w:r>
      <w:r w:rsidR="000D4D7C">
        <w:rPr>
          <w:rFonts w:ascii="ＭＳ 明朝" w:eastAsia="ＭＳ 明朝" w:hAnsi="ＭＳ 明朝" w:hint="eastAsia"/>
          <w:sz w:val="22"/>
          <w:szCs w:val="24"/>
        </w:rPr>
        <w:t>平均７．８％で「高い」ことを理由に引き下げました。しかし、これは「平均」であって、訪問介護事業所のうち３６．７％は「赤字」です。大手事業者は高齢者住宅併設などの事業所が平均を押し上げているだけで、小</w:t>
      </w:r>
      <w:r w:rsidR="000D4D7C">
        <w:rPr>
          <w:rFonts w:ascii="ＭＳ 明朝" w:eastAsia="ＭＳ 明朝" w:hAnsi="ＭＳ 明朝" w:hint="eastAsia"/>
          <w:sz w:val="22"/>
          <w:szCs w:val="24"/>
        </w:rPr>
        <w:lastRenderedPageBreak/>
        <w:t>規模事業所は収支差率は１％台しかありません。</w:t>
      </w:r>
    </w:p>
    <w:p w14:paraId="61C4F472" w14:textId="3850C66A" w:rsidR="000D4D7C" w:rsidRDefault="000D4D7C">
      <w:pPr>
        <w:rPr>
          <w:rFonts w:ascii="ＭＳ 明朝" w:eastAsia="ＭＳ 明朝" w:hAnsi="ＭＳ 明朝"/>
          <w:sz w:val="22"/>
          <w:szCs w:val="24"/>
        </w:rPr>
      </w:pPr>
      <w:r>
        <w:rPr>
          <w:rFonts w:ascii="ＭＳ 明朝" w:eastAsia="ＭＳ 明朝" w:hAnsi="ＭＳ 明朝" w:hint="eastAsia"/>
          <w:sz w:val="22"/>
          <w:szCs w:val="24"/>
        </w:rPr>
        <w:t xml:space="preserve">　国も訪問介護事業所の４割近くが赤字であることは認めているにもかかわらず、こうした事情を無視して、訪問介護全体の報酬を下げたことは「失策」です。</w:t>
      </w:r>
    </w:p>
    <w:p w14:paraId="4C14899E" w14:textId="608B264A" w:rsidR="000D4D7C" w:rsidRDefault="000D4D7C">
      <w:pPr>
        <w:rPr>
          <w:rFonts w:ascii="ＭＳ 明朝" w:eastAsia="ＭＳ 明朝" w:hAnsi="ＭＳ 明朝"/>
          <w:sz w:val="22"/>
          <w:szCs w:val="24"/>
        </w:rPr>
      </w:pPr>
      <w:r>
        <w:rPr>
          <w:rFonts w:ascii="ＭＳ 明朝" w:eastAsia="ＭＳ 明朝" w:hAnsi="ＭＳ 明朝" w:hint="eastAsia"/>
          <w:sz w:val="22"/>
          <w:szCs w:val="24"/>
        </w:rPr>
        <w:t xml:space="preserve">　また、国は介護職員の賃金引上げのための「処遇改善加算」を上げていることも理由としていますが、訪問介護は「基本報酬」そのものが下がっているため「加算」を上げても全体としてはマイナスになってしまいます。</w:t>
      </w:r>
    </w:p>
    <w:p w14:paraId="6CDCFA36" w14:textId="1A6B77A6" w:rsidR="000D4D7C" w:rsidRDefault="008922FE">
      <w:pPr>
        <w:rPr>
          <w:rFonts w:ascii="ＭＳ 明朝" w:eastAsia="ＭＳ 明朝" w:hAnsi="ＭＳ 明朝"/>
          <w:sz w:val="22"/>
          <w:szCs w:val="24"/>
        </w:rPr>
      </w:pPr>
      <w:r>
        <w:drawing>
          <wp:inline distT="0" distB="0" distL="0" distR="0" wp14:anchorId="27D9EE7A" wp14:editId="43C58B2C">
            <wp:extent cx="3825240" cy="2370083"/>
            <wp:effectExtent l="0" t="0" r="0" b="0"/>
            <wp:docPr id="1026" name="Picture 2">
              <a:extLst xmlns:a="http://schemas.openxmlformats.org/drawingml/2006/main">
                <a:ext uri="{FF2B5EF4-FFF2-40B4-BE49-F238E27FC236}">
                  <a16:creationId xmlns:a16="http://schemas.microsoft.com/office/drawing/2014/main" id="{D004BAC1-8F43-3839-1B85-5BCA418BF04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a:extLst>
                        <a:ext uri="{FF2B5EF4-FFF2-40B4-BE49-F238E27FC236}">
                          <a16:creationId xmlns:a16="http://schemas.microsoft.com/office/drawing/2014/main" id="{D004BAC1-8F43-3839-1B85-5BCA418BF04C}"/>
                        </a:ext>
                      </a:extLs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836202" cy="2376875"/>
                    </a:xfrm>
                    <a:prstGeom prst="rect">
                      <a:avLst/>
                    </a:prstGeom>
                    <a:noFill/>
                  </pic:spPr>
                </pic:pic>
              </a:graphicData>
            </a:graphic>
          </wp:inline>
        </w:drawing>
      </w:r>
    </w:p>
    <w:p w14:paraId="339A79C5" w14:textId="304CEDC4" w:rsidR="000D4D7C" w:rsidRPr="00A51A7D" w:rsidRDefault="008922FE">
      <w:pPr>
        <w:rPr>
          <w:rFonts w:ascii="ＭＳ 明朝" w:eastAsia="ＭＳ 明朝" w:hAnsi="ＭＳ 明朝"/>
          <w:sz w:val="22"/>
          <w:szCs w:val="24"/>
        </w:rPr>
      </w:pPr>
      <w:r>
        <w:drawing>
          <wp:inline distT="0" distB="0" distL="0" distR="0" wp14:anchorId="124A38B8" wp14:editId="478D6B3F">
            <wp:extent cx="3895090" cy="749796"/>
            <wp:effectExtent l="0" t="0" r="0" b="0"/>
            <wp:docPr id="7" name="図 6">
              <a:extLst xmlns:a="http://schemas.openxmlformats.org/drawingml/2006/main">
                <a:ext uri="{FF2B5EF4-FFF2-40B4-BE49-F238E27FC236}">
                  <a16:creationId xmlns:a16="http://schemas.microsoft.com/office/drawing/2014/main" id="{C565179E-026A-6C9E-C87B-AF7EF77D086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6">
                      <a:extLst>
                        <a:ext uri="{FF2B5EF4-FFF2-40B4-BE49-F238E27FC236}">
                          <a16:creationId xmlns:a16="http://schemas.microsoft.com/office/drawing/2014/main" id="{C565179E-026A-6C9E-C87B-AF7EF77D0861}"/>
                        </a:ext>
                      </a:extLst>
                    </pic:cNvPr>
                    <pic:cNvPicPr>
                      <a:picLocks noChangeAspect="1"/>
                    </pic:cNvPicPr>
                  </pic:nvPicPr>
                  <pic:blipFill>
                    <a:blip r:embed="rId8"/>
                    <a:stretch>
                      <a:fillRect/>
                    </a:stretch>
                  </pic:blipFill>
                  <pic:spPr>
                    <a:xfrm>
                      <a:off x="0" y="0"/>
                      <a:ext cx="3913440" cy="753328"/>
                    </a:xfrm>
                    <a:prstGeom prst="rect">
                      <a:avLst/>
                    </a:prstGeom>
                  </pic:spPr>
                </pic:pic>
              </a:graphicData>
            </a:graphic>
          </wp:inline>
        </w:drawing>
      </w:r>
    </w:p>
    <w:p w14:paraId="67BC8832" w14:textId="609051E7" w:rsidR="000D4D7C" w:rsidRDefault="000D4D7C">
      <w:pPr>
        <w:rPr>
          <w:rFonts w:ascii="ＭＳ ゴシック" w:eastAsia="ＭＳ ゴシック" w:hAnsi="ＭＳ ゴシック"/>
          <w:sz w:val="22"/>
          <w:szCs w:val="24"/>
        </w:rPr>
      </w:pPr>
      <w:r>
        <w:rPr>
          <w:rFonts w:ascii="ＭＳ ゴシック" w:eastAsia="ＭＳ ゴシック" w:hAnsi="ＭＳ ゴシック" w:hint="eastAsia"/>
          <w:sz w:val="22"/>
          <w:szCs w:val="24"/>
        </w:rPr>
        <w:t xml:space="preserve">　　</w:t>
      </w:r>
    </w:p>
    <w:p w14:paraId="0D33EC8E" w14:textId="658C9C4A" w:rsidR="00CD4CF3" w:rsidRPr="00E12156" w:rsidRDefault="00CD4CF3">
      <w:pPr>
        <w:rPr>
          <w:rFonts w:ascii="ＭＳ ゴシック" w:eastAsia="ＭＳ ゴシック" w:hAnsi="ＭＳ ゴシック"/>
          <w:sz w:val="28"/>
          <w:szCs w:val="32"/>
        </w:rPr>
      </w:pPr>
      <w:r w:rsidRPr="00E12156">
        <w:rPr>
          <w:rFonts w:ascii="ＭＳ ゴシック" w:eastAsia="ＭＳ ゴシック" w:hAnsi="ＭＳ ゴシック" w:hint="eastAsia"/>
          <w:sz w:val="28"/>
          <w:szCs w:val="32"/>
        </w:rPr>
        <w:t>３　訪問介護の現状はどうなのでしょうか</w:t>
      </w:r>
    </w:p>
    <w:p w14:paraId="6B644FDD" w14:textId="77777777" w:rsidR="008922FE" w:rsidRDefault="008922FE">
      <w:pPr>
        <w:rPr>
          <w:rFonts w:ascii="ＭＳ 明朝" w:eastAsia="ＭＳ 明朝" w:hAnsi="ＭＳ 明朝"/>
          <w:sz w:val="22"/>
          <w:szCs w:val="24"/>
        </w:rPr>
      </w:pPr>
      <w:r w:rsidRPr="008922FE">
        <w:rPr>
          <w:rFonts w:ascii="ＭＳ 明朝" w:eastAsia="ＭＳ 明朝" w:hAnsi="ＭＳ 明朝" w:hint="eastAsia"/>
          <w:sz w:val="22"/>
          <w:szCs w:val="24"/>
        </w:rPr>
        <w:t xml:space="preserve">　介護報酬引き下げ</w:t>
      </w:r>
      <w:r>
        <w:rPr>
          <w:rFonts w:ascii="ＭＳ 明朝" w:eastAsia="ＭＳ 明朝" w:hAnsi="ＭＳ 明朝" w:hint="eastAsia"/>
          <w:sz w:val="22"/>
          <w:szCs w:val="24"/>
        </w:rPr>
        <w:t>という「ショック」は、訪問介護事業所を経済的にも心理的も大きな打撃を与えました。</w:t>
      </w:r>
    </w:p>
    <w:p w14:paraId="34931517" w14:textId="24D73294" w:rsidR="00CD4CF3" w:rsidRPr="008922FE" w:rsidRDefault="008922FE" w:rsidP="008922FE">
      <w:pPr>
        <w:ind w:firstLineChars="100" w:firstLine="220"/>
        <w:rPr>
          <w:rFonts w:ascii="ＭＳ 明朝" w:eastAsia="ＭＳ 明朝" w:hAnsi="ＭＳ 明朝"/>
          <w:sz w:val="22"/>
          <w:szCs w:val="24"/>
        </w:rPr>
      </w:pPr>
      <w:r w:rsidRPr="008922FE">
        <w:rPr>
          <w:rFonts w:ascii="ＭＳ 明朝" w:eastAsia="ＭＳ 明朝" w:hAnsi="ＭＳ 明朝"/>
          <w:sz w:val="22"/>
          <w:szCs w:val="24"/>
        </w:rPr>
        <w:t>2024年の介護事業者の倒産が、過去最多の172件（前年比40.9％増）に達したことがわかった。　これまで最多だった2022年の143件を29件上回った。ヘルパー不足や集合住宅型との競合、基本報酬のマイナス改定などが影響した「訪問介護」が過去最多の81件</w:t>
      </w:r>
      <w:r>
        <w:rPr>
          <w:rFonts w:ascii="ＭＳ 明朝" w:eastAsia="ＭＳ 明朝" w:hAnsi="ＭＳ 明朝" w:hint="eastAsia"/>
          <w:sz w:val="22"/>
          <w:szCs w:val="24"/>
        </w:rPr>
        <w:t>に上りました。</w:t>
      </w:r>
    </w:p>
    <w:p w14:paraId="645887EE" w14:textId="03BB4395" w:rsidR="00CD4CF3" w:rsidRDefault="008922FE">
      <w:pPr>
        <w:rPr>
          <w:rFonts w:ascii="ＭＳ ゴシック" w:eastAsia="ＭＳ ゴシック" w:hAnsi="ＭＳ ゴシック"/>
          <w:sz w:val="22"/>
          <w:szCs w:val="24"/>
        </w:rPr>
      </w:pPr>
      <w:r>
        <w:rPr>
          <w:rFonts w:ascii="ＭＳ ゴシック" w:eastAsia="ＭＳ ゴシック" w:hAnsi="ＭＳ ゴシック" w:hint="eastAsia"/>
          <w:sz w:val="22"/>
          <w:szCs w:val="24"/>
        </w:rPr>
        <w:t xml:space="preserve">　</w:t>
      </w:r>
      <w:r>
        <w:drawing>
          <wp:inline distT="0" distB="0" distL="0" distR="0" wp14:anchorId="421C5E01" wp14:editId="43850EB0">
            <wp:extent cx="4367121" cy="1825625"/>
            <wp:effectExtent l="0" t="0" r="0" b="0"/>
            <wp:docPr id="6" name="図 5">
              <a:extLst xmlns:a="http://schemas.openxmlformats.org/drawingml/2006/main">
                <a:ext uri="{FF2B5EF4-FFF2-40B4-BE49-F238E27FC236}">
                  <a16:creationId xmlns:a16="http://schemas.microsoft.com/office/drawing/2014/main" id="{B7924CDA-577B-ABA6-12F9-A75E8FBF8A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B7924CDA-577B-ABA6-12F9-A75E8FBF8AEE}"/>
                        </a:ext>
                      </a:extLst>
                    </pic:cNvPr>
                    <pic:cNvPicPr>
                      <a:picLocks noChangeAspect="1"/>
                    </pic:cNvPicPr>
                  </pic:nvPicPr>
                  <pic:blipFill>
                    <a:blip r:embed="rId9"/>
                    <a:stretch>
                      <a:fillRect/>
                    </a:stretch>
                  </pic:blipFill>
                  <pic:spPr>
                    <a:xfrm>
                      <a:off x="0" y="0"/>
                      <a:ext cx="4371518" cy="1827463"/>
                    </a:xfrm>
                    <a:prstGeom prst="rect">
                      <a:avLst/>
                    </a:prstGeom>
                  </pic:spPr>
                </pic:pic>
              </a:graphicData>
            </a:graphic>
          </wp:inline>
        </w:drawing>
      </w:r>
    </w:p>
    <w:p w14:paraId="77FE2F94" w14:textId="3A6A8E05" w:rsidR="008922FE" w:rsidRDefault="008922FE" w:rsidP="008922FE">
      <w:pPr>
        <w:rPr>
          <w:rFonts w:ascii="ＭＳ 明朝" w:eastAsia="ＭＳ 明朝" w:hAnsi="ＭＳ 明朝"/>
          <w:sz w:val="22"/>
          <w:szCs w:val="24"/>
        </w:rPr>
      </w:pPr>
      <w:r w:rsidRPr="008922FE">
        <w:rPr>
          <w:rFonts w:ascii="ＭＳ 明朝" w:eastAsia="ＭＳ 明朝" w:hAnsi="ＭＳ 明朝" w:hint="eastAsia"/>
          <w:sz w:val="22"/>
          <w:szCs w:val="24"/>
        </w:rPr>
        <w:t xml:space="preserve">　厚生労働省の</w:t>
      </w:r>
      <w:r>
        <w:rPr>
          <w:rFonts w:ascii="ＭＳ 明朝" w:eastAsia="ＭＳ 明朝" w:hAnsi="ＭＳ 明朝" w:hint="eastAsia"/>
          <w:sz w:val="22"/>
          <w:szCs w:val="24"/>
        </w:rPr>
        <w:t>調査でも、２０２４年６</w:t>
      </w:r>
      <w:r w:rsidRPr="008922FE">
        <w:rPr>
          <w:rFonts w:ascii="ＭＳ 明朝" w:eastAsia="ＭＳ 明朝" w:hAnsi="ＭＳ 明朝"/>
          <w:sz w:val="22"/>
          <w:szCs w:val="24"/>
        </w:rPr>
        <w:t>月から8月の3ヵ月間に休止した事業所は166件、廃止となった事業所は397件。あわせて563件にのぼっ</w:t>
      </w:r>
      <w:r>
        <w:rPr>
          <w:rFonts w:ascii="ＭＳ 明朝" w:eastAsia="ＭＳ 明朝" w:hAnsi="ＭＳ 明朝" w:hint="eastAsia"/>
          <w:sz w:val="22"/>
          <w:szCs w:val="24"/>
        </w:rPr>
        <w:t>ています。</w:t>
      </w:r>
      <w:r w:rsidRPr="008922FE">
        <w:rPr>
          <w:rFonts w:ascii="ＭＳ 明朝" w:eastAsia="ＭＳ 明朝" w:hAnsi="ＭＳ 明朝"/>
          <w:sz w:val="22"/>
          <w:szCs w:val="24"/>
        </w:rPr>
        <w:t>新たに開設された事業所は573件</w:t>
      </w:r>
      <w:r>
        <w:rPr>
          <w:rFonts w:ascii="ＭＳ 明朝" w:eastAsia="ＭＳ 明朝" w:hAnsi="ＭＳ 明朝" w:hint="eastAsia"/>
          <w:sz w:val="22"/>
          <w:szCs w:val="24"/>
        </w:rPr>
        <w:t>あり、</w:t>
      </w:r>
      <w:r w:rsidRPr="008922FE">
        <w:rPr>
          <w:rFonts w:ascii="ＭＳ 明朝" w:eastAsia="ＭＳ 明朝" w:hAnsi="ＭＳ 明朝"/>
          <w:sz w:val="22"/>
          <w:szCs w:val="24"/>
        </w:rPr>
        <w:t>全体としては20件の増加となっ</w:t>
      </w:r>
      <w:r>
        <w:rPr>
          <w:rFonts w:ascii="ＭＳ 明朝" w:eastAsia="ＭＳ 明朝" w:hAnsi="ＭＳ 明朝" w:hint="eastAsia"/>
          <w:sz w:val="22"/>
          <w:szCs w:val="24"/>
        </w:rPr>
        <w:t>ているものの、昨年同時期（528件）と比べると休止・廃止は大きく増えています。</w:t>
      </w:r>
    </w:p>
    <w:p w14:paraId="406B763D" w14:textId="55FC8A28" w:rsidR="00AE1356" w:rsidRDefault="00AE1356" w:rsidP="008922FE">
      <w:pPr>
        <w:rPr>
          <w:rFonts w:ascii="ＭＳ 明朝" w:eastAsia="ＭＳ 明朝" w:hAnsi="ＭＳ 明朝"/>
          <w:sz w:val="22"/>
          <w:szCs w:val="24"/>
        </w:rPr>
      </w:pPr>
      <w:r>
        <w:rPr>
          <w:rFonts w:ascii="ＭＳ 明朝" w:eastAsia="ＭＳ 明朝" w:hAnsi="ＭＳ 明朝" w:hint="eastAsia"/>
          <w:sz w:val="22"/>
          <w:szCs w:val="24"/>
        </w:rPr>
        <w:t xml:space="preserve">　自治体が行った調査でも、訪問介護事業所の4割が2024年度は「赤字見込」（島根県調査）など、深刻な実態が明らかになっています。</w:t>
      </w:r>
    </w:p>
    <w:p w14:paraId="0C98D75B" w14:textId="3AB4D255" w:rsidR="00AE1356" w:rsidRPr="008922FE" w:rsidRDefault="00AE1356" w:rsidP="008922FE">
      <w:pPr>
        <w:rPr>
          <w:rFonts w:ascii="ＭＳ 明朝" w:eastAsia="ＭＳ 明朝" w:hAnsi="ＭＳ 明朝"/>
          <w:sz w:val="22"/>
          <w:szCs w:val="24"/>
        </w:rPr>
      </w:pPr>
      <w:r w:rsidRPr="00AE1356">
        <w:rPr>
          <w:rFonts w:ascii="ＭＳ 明朝" w:eastAsia="ＭＳ 明朝" w:hAnsi="ＭＳ 明朝"/>
          <w:sz w:val="22"/>
          <w:szCs w:val="24"/>
        </w:rPr>
        <w:drawing>
          <wp:inline distT="0" distB="0" distL="0" distR="0" wp14:anchorId="45F5CBBD" wp14:editId="0195E8BB">
            <wp:extent cx="3400900" cy="5915851"/>
            <wp:effectExtent l="0" t="0" r="9525" b="8890"/>
            <wp:docPr id="89824487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244871" name=""/>
                    <pic:cNvPicPr/>
                  </pic:nvPicPr>
                  <pic:blipFill>
                    <a:blip r:embed="rId10"/>
                    <a:stretch>
                      <a:fillRect/>
                    </a:stretch>
                  </pic:blipFill>
                  <pic:spPr>
                    <a:xfrm>
                      <a:off x="0" y="0"/>
                      <a:ext cx="3400900" cy="5915851"/>
                    </a:xfrm>
                    <a:prstGeom prst="rect">
                      <a:avLst/>
                    </a:prstGeom>
                  </pic:spPr>
                </pic:pic>
              </a:graphicData>
            </a:graphic>
          </wp:inline>
        </w:drawing>
      </w:r>
    </w:p>
    <w:p w14:paraId="7C2431A9" w14:textId="18F5A169" w:rsidR="008922FE" w:rsidRDefault="00AE1356">
      <w:pPr>
        <w:rPr>
          <w:rFonts w:ascii="ＭＳ ゴシック" w:eastAsia="ＭＳ ゴシック" w:hAnsi="ＭＳ ゴシック"/>
          <w:sz w:val="22"/>
          <w:szCs w:val="24"/>
        </w:rPr>
      </w:pPr>
      <w:r>
        <w:rPr>
          <w:rFonts w:ascii="ＭＳ ゴシック" w:eastAsia="ＭＳ ゴシック" w:hAnsi="ＭＳ ゴシック" w:hint="eastAsia"/>
          <w:sz w:val="22"/>
          <w:szCs w:val="24"/>
        </w:rPr>
        <w:t xml:space="preserve">　</w:t>
      </w:r>
    </w:p>
    <w:p w14:paraId="65951AF3" w14:textId="77777777" w:rsidR="008922FE" w:rsidRDefault="008922FE">
      <w:pPr>
        <w:rPr>
          <w:rFonts w:ascii="ＭＳ ゴシック" w:eastAsia="ＭＳ ゴシック" w:hAnsi="ＭＳ ゴシック"/>
          <w:sz w:val="22"/>
          <w:szCs w:val="24"/>
        </w:rPr>
      </w:pPr>
    </w:p>
    <w:p w14:paraId="09A87F2F" w14:textId="77777777" w:rsidR="008922FE" w:rsidRDefault="008922FE">
      <w:pPr>
        <w:rPr>
          <w:rFonts w:ascii="ＭＳ ゴシック" w:eastAsia="ＭＳ ゴシック" w:hAnsi="ＭＳ ゴシック"/>
          <w:sz w:val="22"/>
          <w:szCs w:val="24"/>
        </w:rPr>
      </w:pPr>
    </w:p>
    <w:p w14:paraId="1CBE8251" w14:textId="77777777" w:rsidR="008922FE" w:rsidRDefault="008922FE">
      <w:pPr>
        <w:rPr>
          <w:rFonts w:ascii="ＭＳ ゴシック" w:eastAsia="ＭＳ ゴシック" w:hAnsi="ＭＳ ゴシック"/>
          <w:sz w:val="22"/>
          <w:szCs w:val="24"/>
        </w:rPr>
      </w:pPr>
    </w:p>
    <w:p w14:paraId="0ED91F00" w14:textId="640293E3" w:rsidR="00CD4CF3" w:rsidRPr="00E12156" w:rsidRDefault="00CD4CF3">
      <w:pPr>
        <w:rPr>
          <w:rFonts w:ascii="ＭＳ ゴシック" w:eastAsia="ＭＳ ゴシック" w:hAnsi="ＭＳ ゴシック"/>
          <w:sz w:val="28"/>
          <w:szCs w:val="32"/>
        </w:rPr>
      </w:pPr>
      <w:r w:rsidRPr="00E12156">
        <w:rPr>
          <w:rFonts w:ascii="ＭＳ ゴシック" w:eastAsia="ＭＳ ゴシック" w:hAnsi="ＭＳ ゴシック" w:hint="eastAsia"/>
          <w:sz w:val="28"/>
          <w:szCs w:val="32"/>
        </w:rPr>
        <w:t xml:space="preserve">４　</w:t>
      </w:r>
      <w:r w:rsidR="00AE1356" w:rsidRPr="00E12156">
        <w:rPr>
          <w:rFonts w:ascii="ＭＳ ゴシック" w:eastAsia="ＭＳ ゴシック" w:hAnsi="ＭＳ ゴシック" w:hint="eastAsia"/>
          <w:sz w:val="28"/>
          <w:szCs w:val="32"/>
        </w:rPr>
        <w:t>この状態に対して国はどのように対応しているのでしょうか</w:t>
      </w:r>
    </w:p>
    <w:p w14:paraId="348FA00C" w14:textId="04325B88" w:rsidR="00CD4CF3" w:rsidRDefault="00AE1356">
      <w:pPr>
        <w:rPr>
          <w:rFonts w:ascii="ＭＳ 明朝" w:eastAsia="ＭＳ 明朝" w:hAnsi="ＭＳ 明朝"/>
          <w:sz w:val="22"/>
          <w:szCs w:val="24"/>
        </w:rPr>
      </w:pPr>
      <w:r w:rsidRPr="00AE1356">
        <w:rPr>
          <w:rFonts w:ascii="ＭＳ 明朝" w:eastAsia="ＭＳ 明朝" w:hAnsi="ＭＳ 明朝" w:hint="eastAsia"/>
          <w:sz w:val="22"/>
          <w:szCs w:val="24"/>
        </w:rPr>
        <w:t xml:space="preserve">　</w:t>
      </w:r>
      <w:r w:rsidR="00432B68">
        <w:rPr>
          <w:rFonts w:ascii="ＭＳ 明朝" w:eastAsia="ＭＳ 明朝" w:hAnsi="ＭＳ 明朝" w:hint="eastAsia"/>
          <w:sz w:val="22"/>
          <w:szCs w:val="24"/>
        </w:rPr>
        <w:t>報酬行き下げに対する批判の前に、国会では2024年6月5日衆議院厚生労働委員会で全会一致で「意見」が可決されました。意見では「</w:t>
      </w:r>
      <w:r w:rsidR="00432B68" w:rsidRPr="00432B68">
        <w:rPr>
          <w:rFonts w:ascii="ＭＳ 明朝" w:eastAsia="ＭＳ 明朝" w:hAnsi="ＭＳ 明朝" w:hint="eastAsia"/>
          <w:sz w:val="22"/>
          <w:szCs w:val="24"/>
        </w:rPr>
        <w:t>報酬の改定の影響について、訪問介護を始めとする介護事業者等の意見も聴きながら速やかにかつ十分に検証を行い、介護・障害福祉従事者の賃金を始めとする処遇の改善に資するための施策の在り方について検討を加え、必要があると認めるときは、その結果に基づいて必要な措置を講ずるべき</w:t>
      </w:r>
      <w:r w:rsidR="00432B68">
        <w:rPr>
          <w:rFonts w:ascii="ＭＳ 明朝" w:eastAsia="ＭＳ 明朝" w:hAnsi="ＭＳ 明朝" w:hint="eastAsia"/>
          <w:sz w:val="22"/>
          <w:szCs w:val="24"/>
        </w:rPr>
        <w:t>」とされました。</w:t>
      </w:r>
    </w:p>
    <w:p w14:paraId="3B7C16F1" w14:textId="75690F27" w:rsidR="00432B68" w:rsidRDefault="00432B68">
      <w:pPr>
        <w:rPr>
          <w:rFonts w:ascii="ＭＳ 明朝" w:eastAsia="ＭＳ 明朝" w:hAnsi="ＭＳ 明朝"/>
          <w:sz w:val="22"/>
          <w:szCs w:val="24"/>
        </w:rPr>
      </w:pPr>
      <w:r>
        <w:rPr>
          <w:rFonts w:ascii="ＭＳ 明朝" w:eastAsia="ＭＳ 明朝" w:hAnsi="ＭＳ 明朝" w:hint="eastAsia"/>
          <w:sz w:val="22"/>
          <w:szCs w:val="24"/>
        </w:rPr>
        <w:t xml:space="preserve">　しかし、政府・厚生労働省は、報酬引き下げ撤回や再改定については拒否し続け、補正予算でわずかな「訪問介護事業支援策」や「介護職員1人当たり月5.4万円の一時金給付を可能とする支援」などにとどまっています。</w:t>
      </w:r>
    </w:p>
    <w:p w14:paraId="6AB82488" w14:textId="77777777" w:rsidR="00977661" w:rsidRDefault="00977661">
      <w:pPr>
        <w:rPr>
          <w:rFonts w:ascii="ＭＳ ゴシック" w:eastAsia="ＭＳ ゴシック" w:hAnsi="ＭＳ ゴシック"/>
          <w:sz w:val="22"/>
          <w:szCs w:val="24"/>
        </w:rPr>
      </w:pPr>
    </w:p>
    <w:p w14:paraId="22D9FF80" w14:textId="5075A3BD" w:rsidR="00CD4CF3" w:rsidRPr="00E12156" w:rsidRDefault="00C20415">
      <w:pPr>
        <w:rPr>
          <w:rFonts w:ascii="ＭＳ ゴシック" w:eastAsia="ＭＳ ゴシック" w:hAnsi="ＭＳ ゴシック"/>
          <w:sz w:val="28"/>
          <w:szCs w:val="32"/>
        </w:rPr>
      </w:pPr>
      <w:r w:rsidRPr="00E12156">
        <w:rPr>
          <w:rFonts w:ascii="ＭＳ ゴシック" w:eastAsia="ＭＳ ゴシック" w:hAnsi="ＭＳ ゴシック" w:hint="eastAsia"/>
          <w:sz w:val="28"/>
          <w:szCs w:val="32"/>
        </w:rPr>
        <w:t>５</w:t>
      </w:r>
      <w:r w:rsidR="00CD4CF3" w:rsidRPr="00E12156">
        <w:rPr>
          <w:rFonts w:ascii="ＭＳ ゴシック" w:eastAsia="ＭＳ ゴシック" w:hAnsi="ＭＳ ゴシック" w:hint="eastAsia"/>
          <w:sz w:val="28"/>
          <w:szCs w:val="32"/>
        </w:rPr>
        <w:t xml:space="preserve">　意見書採択はどこまですすんでいますか</w:t>
      </w:r>
    </w:p>
    <w:p w14:paraId="5D8F69EE" w14:textId="7493EB48" w:rsidR="00CD4CF3" w:rsidRDefault="00977661">
      <w:pPr>
        <w:rPr>
          <w:rFonts w:ascii="ＭＳ 明朝" w:eastAsia="ＭＳ 明朝" w:hAnsi="ＭＳ 明朝"/>
          <w:sz w:val="22"/>
          <w:szCs w:val="24"/>
        </w:rPr>
      </w:pPr>
      <w:r>
        <w:rPr>
          <w:rFonts w:ascii="ＭＳ ゴシック" w:eastAsia="ＭＳ ゴシック" w:hAnsi="ＭＳ ゴシック" w:hint="eastAsia"/>
          <w:sz w:val="22"/>
          <w:szCs w:val="24"/>
        </w:rPr>
        <w:t xml:space="preserve">　</w:t>
      </w:r>
      <w:r w:rsidRPr="00977661">
        <w:rPr>
          <w:rFonts w:ascii="ＭＳ 明朝" w:eastAsia="ＭＳ 明朝" w:hAnsi="ＭＳ 明朝" w:hint="eastAsia"/>
          <w:sz w:val="22"/>
          <w:szCs w:val="24"/>
        </w:rPr>
        <w:t>訪問介護</w:t>
      </w:r>
      <w:r>
        <w:rPr>
          <w:rFonts w:ascii="ＭＳ 明朝" w:eastAsia="ＭＳ 明朝" w:hAnsi="ＭＳ 明朝" w:hint="eastAsia"/>
          <w:sz w:val="22"/>
          <w:szCs w:val="24"/>
        </w:rPr>
        <w:t>報酬引き下げ撤回・再改定などを求める声は地方議会にも影響を与え、政治的立場を超えて「意見書」採択が進んでいます。</w:t>
      </w:r>
    </w:p>
    <w:p w14:paraId="08137193" w14:textId="42F8C018" w:rsidR="00977661" w:rsidRDefault="00977661">
      <w:pPr>
        <w:rPr>
          <w:rFonts w:ascii="ＭＳ 明朝" w:eastAsia="ＭＳ 明朝" w:hAnsi="ＭＳ 明朝"/>
          <w:sz w:val="22"/>
          <w:szCs w:val="24"/>
        </w:rPr>
      </w:pPr>
      <w:r>
        <w:rPr>
          <w:rFonts w:ascii="ＭＳ 明朝" w:eastAsia="ＭＳ 明朝" w:hAnsi="ＭＳ 明朝" w:hint="eastAsia"/>
          <w:sz w:val="22"/>
          <w:szCs w:val="24"/>
        </w:rPr>
        <w:t xml:space="preserve">　本年1月7日時点で、全国33都道府県212自治体で請願・陳情採択、208の意見書が提出されています</w:t>
      </w:r>
      <w:r w:rsidR="00C20415">
        <w:rPr>
          <w:rFonts w:ascii="ＭＳ 明朝" w:eastAsia="ＭＳ 明朝" w:hAnsi="ＭＳ 明朝" w:hint="eastAsia"/>
          <w:sz w:val="22"/>
          <w:szCs w:val="24"/>
        </w:rPr>
        <w:t>。県レベルでも11県議会で意見書が採択され、長野県では市町村の85.7％にあたる77市町村で意見書が採択されています。</w:t>
      </w:r>
    </w:p>
    <w:p w14:paraId="2046A6D5" w14:textId="39660C12" w:rsidR="00977661" w:rsidRDefault="00C20415">
      <w:pPr>
        <w:rPr>
          <w:rFonts w:ascii="ＭＳ 明朝" w:eastAsia="ＭＳ 明朝" w:hAnsi="ＭＳ 明朝"/>
          <w:sz w:val="22"/>
          <w:szCs w:val="24"/>
        </w:rPr>
      </w:pPr>
      <w:r>
        <w:rPr>
          <w:rFonts w:ascii="ＭＳ 明朝" w:eastAsia="ＭＳ 明朝" w:hAnsi="ＭＳ 明朝" w:hint="eastAsia"/>
          <w:sz w:val="22"/>
          <w:szCs w:val="24"/>
        </w:rPr>
        <w:t xml:space="preserve">　大阪府内でも吹田市（2024年6月28日）、摂津市（2024年7月8日）、貝塚市（2024年12月13日）の3市で意見書が採択されています。</w:t>
      </w:r>
    </w:p>
    <w:p w14:paraId="60DE2D8F" w14:textId="64F7B697" w:rsidR="00CD4CF3" w:rsidRDefault="00CD4CF3">
      <w:pPr>
        <w:rPr>
          <w:rFonts w:ascii="ＭＳ ゴシック" w:eastAsia="ＭＳ ゴシック" w:hAnsi="ＭＳ ゴシック"/>
          <w:sz w:val="22"/>
          <w:szCs w:val="24"/>
        </w:rPr>
      </w:pPr>
    </w:p>
    <w:p w14:paraId="3801DC74" w14:textId="3A78DE58" w:rsidR="00CD4CF3" w:rsidRPr="00E12156" w:rsidRDefault="00C20415">
      <w:pPr>
        <w:rPr>
          <w:rFonts w:ascii="ＭＳ ゴシック" w:eastAsia="ＭＳ ゴシック" w:hAnsi="ＭＳ ゴシック"/>
          <w:sz w:val="28"/>
          <w:szCs w:val="32"/>
        </w:rPr>
      </w:pPr>
      <w:r w:rsidRPr="00E12156">
        <w:rPr>
          <w:rFonts w:ascii="ＭＳ ゴシック" w:eastAsia="ＭＳ ゴシック" w:hAnsi="ＭＳ ゴシック" w:hint="eastAsia"/>
          <w:sz w:val="28"/>
          <w:szCs w:val="32"/>
        </w:rPr>
        <w:t>６</w:t>
      </w:r>
      <w:r w:rsidR="00CD4CF3" w:rsidRPr="00E12156">
        <w:rPr>
          <w:rFonts w:ascii="ＭＳ ゴシック" w:eastAsia="ＭＳ ゴシック" w:hAnsi="ＭＳ ゴシック" w:hint="eastAsia"/>
          <w:sz w:val="28"/>
          <w:szCs w:val="32"/>
        </w:rPr>
        <w:t xml:space="preserve">　自治体として行うべきことは</w:t>
      </w:r>
    </w:p>
    <w:p w14:paraId="28BEE6AE" w14:textId="2794A3CE" w:rsidR="00CD4CF3" w:rsidRDefault="00C20415">
      <w:pPr>
        <w:rPr>
          <w:rFonts w:ascii="ＭＳ 明朝" w:eastAsia="ＭＳ 明朝" w:hAnsi="ＭＳ 明朝"/>
          <w:sz w:val="22"/>
          <w:szCs w:val="24"/>
        </w:rPr>
      </w:pPr>
      <w:r w:rsidRPr="00C20415">
        <w:rPr>
          <w:rFonts w:ascii="ＭＳ 明朝" w:eastAsia="ＭＳ 明朝" w:hAnsi="ＭＳ 明朝" w:hint="eastAsia"/>
          <w:sz w:val="22"/>
          <w:szCs w:val="24"/>
        </w:rPr>
        <w:t xml:space="preserve">　介護報酬</w:t>
      </w:r>
      <w:r>
        <w:rPr>
          <w:rFonts w:ascii="ＭＳ 明朝" w:eastAsia="ＭＳ 明朝" w:hAnsi="ＭＳ 明朝" w:hint="eastAsia"/>
          <w:sz w:val="22"/>
          <w:szCs w:val="24"/>
        </w:rPr>
        <w:t>改定</w:t>
      </w:r>
      <w:r w:rsidRPr="00C20415">
        <w:rPr>
          <w:rFonts w:ascii="ＭＳ 明朝" w:eastAsia="ＭＳ 明朝" w:hAnsi="ＭＳ 明朝" w:hint="eastAsia"/>
          <w:sz w:val="22"/>
          <w:szCs w:val="24"/>
        </w:rPr>
        <w:t>は</w:t>
      </w:r>
      <w:r>
        <w:rPr>
          <w:rFonts w:ascii="ＭＳ 明朝" w:eastAsia="ＭＳ 明朝" w:hAnsi="ＭＳ 明朝" w:hint="eastAsia"/>
          <w:sz w:val="22"/>
          <w:szCs w:val="24"/>
        </w:rPr>
        <w:t>、国（厚生労働省）が行うことですが、自治体は介護保険の保険者としてこの事態の解決に向け行えることがあります。</w:t>
      </w:r>
    </w:p>
    <w:p w14:paraId="16197C61" w14:textId="2975E723" w:rsidR="00AF35AA" w:rsidRDefault="00C20415">
      <w:pPr>
        <w:rPr>
          <w:rFonts w:ascii="ＭＳ 明朝" w:eastAsia="ＭＳ 明朝" w:hAnsi="ＭＳ 明朝"/>
          <w:sz w:val="22"/>
          <w:szCs w:val="24"/>
        </w:rPr>
      </w:pPr>
      <w:r>
        <w:rPr>
          <w:rFonts w:ascii="ＭＳ 明朝" w:eastAsia="ＭＳ 明朝" w:hAnsi="ＭＳ 明朝" w:hint="eastAsia"/>
          <w:sz w:val="22"/>
          <w:szCs w:val="24"/>
        </w:rPr>
        <w:t xml:space="preserve">　</w:t>
      </w:r>
      <w:r w:rsidR="0012060E">
        <w:rPr>
          <w:rFonts w:ascii="ＭＳ 明朝" w:eastAsia="ＭＳ 明朝" w:hAnsi="ＭＳ 明朝" w:hint="eastAsia"/>
          <w:sz w:val="22"/>
          <w:szCs w:val="24"/>
        </w:rPr>
        <w:t>まずは自治体独自の</w:t>
      </w:r>
      <w:r>
        <w:rPr>
          <w:rFonts w:ascii="ＭＳ 明朝" w:eastAsia="ＭＳ 明朝" w:hAnsi="ＭＳ 明朝" w:hint="eastAsia"/>
          <w:sz w:val="22"/>
          <w:szCs w:val="24"/>
        </w:rPr>
        <w:t>実態把握です。</w:t>
      </w:r>
      <w:r w:rsidR="0012060E">
        <w:rPr>
          <w:rFonts w:ascii="ＭＳ 明朝" w:eastAsia="ＭＳ 明朝" w:hAnsi="ＭＳ 明朝" w:hint="eastAsia"/>
          <w:sz w:val="22"/>
          <w:szCs w:val="24"/>
        </w:rPr>
        <w:t>先述した島根県の他に、</w:t>
      </w:r>
      <w:r>
        <w:rPr>
          <w:rFonts w:ascii="ＭＳ 明朝" w:eastAsia="ＭＳ 明朝" w:hAnsi="ＭＳ 明朝" w:hint="eastAsia"/>
          <w:sz w:val="22"/>
          <w:szCs w:val="24"/>
        </w:rPr>
        <w:t>長野県</w:t>
      </w:r>
      <w:r w:rsidR="0012060E">
        <w:rPr>
          <w:rFonts w:ascii="ＭＳ 明朝" w:eastAsia="ＭＳ 明朝" w:hAnsi="ＭＳ 明朝" w:hint="eastAsia"/>
          <w:sz w:val="22"/>
          <w:szCs w:val="24"/>
        </w:rPr>
        <w:t>も</w:t>
      </w:r>
      <w:r>
        <w:rPr>
          <w:rFonts w:ascii="ＭＳ 明朝" w:eastAsia="ＭＳ 明朝" w:hAnsi="ＭＳ 明朝" w:hint="eastAsia"/>
          <w:sz w:val="22"/>
          <w:szCs w:val="24"/>
        </w:rPr>
        <w:t>「訪問介護事業所実態調査」を行い9月の県議会に</w:t>
      </w:r>
      <w:r w:rsidR="0012060E">
        <w:rPr>
          <w:rFonts w:ascii="ＭＳ 明朝" w:eastAsia="ＭＳ 明朝" w:hAnsi="ＭＳ 明朝" w:hint="eastAsia"/>
          <w:sz w:val="22"/>
          <w:szCs w:val="24"/>
        </w:rPr>
        <w:t>報告するなど自治体として訪問介護事業所の実態を把握し、改善のために国への要望・提言等を行っていくことはすぐにでもできます。</w:t>
      </w:r>
    </w:p>
    <w:p w14:paraId="4A298632" w14:textId="05F5DCB6" w:rsidR="0012060E" w:rsidRPr="00AF35AA" w:rsidRDefault="0012060E">
      <w:pPr>
        <w:rPr>
          <w:rFonts w:ascii="ＭＳ ゴシック" w:eastAsia="ＭＳ ゴシック" w:hAnsi="ＭＳ ゴシック"/>
          <w:sz w:val="20"/>
          <w:szCs w:val="21"/>
        </w:rPr>
      </w:pPr>
      <w:r>
        <w:rPr>
          <w:rFonts w:ascii="ＭＳ 明朝" w:eastAsia="ＭＳ 明朝" w:hAnsi="ＭＳ 明朝" w:hint="eastAsia"/>
          <w:sz w:val="22"/>
          <w:szCs w:val="24"/>
        </w:rPr>
        <w:t xml:space="preserve">　第２は、自治体として独自の支援策です</w:t>
      </w:r>
      <w:r w:rsidR="003929B8">
        <w:rPr>
          <w:rFonts w:ascii="ＭＳ 明朝" w:eastAsia="ＭＳ 明朝" w:hAnsi="ＭＳ 明朝" w:hint="eastAsia"/>
          <w:sz w:val="22"/>
          <w:szCs w:val="24"/>
        </w:rPr>
        <w:t>。東京都世田谷区では「緊急安定経営」のための「事業者支援給付金」を10月議会で補正予算化しました。新潟県村上市では、介護報酬削減分を2024年4月に遡及して補填し、合わせて訪問介護の移動費への支援事業を決めました。国が改善するまでの間、自治体として可能な独自支援策を講じたり、独自の介護職員処遇改善施策や介護事業所支援策を行うべきです。</w:t>
      </w:r>
    </w:p>
    <w:sectPr w:rsidR="0012060E" w:rsidRPr="00AF35AA">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74A427" w14:textId="77777777" w:rsidR="00D451B3" w:rsidRDefault="00D451B3" w:rsidP="00D451B3">
      <w:r>
        <w:separator/>
      </w:r>
    </w:p>
  </w:endnote>
  <w:endnote w:type="continuationSeparator" w:id="0">
    <w:p w14:paraId="58A8A575" w14:textId="77777777" w:rsidR="00D451B3" w:rsidRDefault="00D451B3" w:rsidP="00D451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47B23D" w14:textId="77777777" w:rsidR="00D451B3" w:rsidRDefault="00D451B3" w:rsidP="00D451B3">
      <w:r>
        <w:separator/>
      </w:r>
    </w:p>
  </w:footnote>
  <w:footnote w:type="continuationSeparator" w:id="0">
    <w:p w14:paraId="27D18BAD" w14:textId="77777777" w:rsidR="00D451B3" w:rsidRDefault="00D451B3" w:rsidP="00D451B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840"/>
  <w:characterSpacingControl w:val="doNotCompress"/>
  <w:savePreviewPicture/>
  <w:hdrShapeDefaults>
    <o:shapedefaults v:ext="edit" spidmax="4097">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35AA"/>
    <w:rsid w:val="000D4D7C"/>
    <w:rsid w:val="0012060E"/>
    <w:rsid w:val="00157C13"/>
    <w:rsid w:val="002B02A3"/>
    <w:rsid w:val="003929B8"/>
    <w:rsid w:val="00432B68"/>
    <w:rsid w:val="008922FE"/>
    <w:rsid w:val="0090461D"/>
    <w:rsid w:val="00977661"/>
    <w:rsid w:val="00A4729D"/>
    <w:rsid w:val="00A51A7D"/>
    <w:rsid w:val="00AE1356"/>
    <w:rsid w:val="00AF35AA"/>
    <w:rsid w:val="00C20415"/>
    <w:rsid w:val="00C20E0A"/>
    <w:rsid w:val="00CD4CF3"/>
    <w:rsid w:val="00D13820"/>
    <w:rsid w:val="00D451B3"/>
    <w:rsid w:val="00E12156"/>
    <w:rsid w:val="00E53AB9"/>
    <w:rsid w:val="00E917A2"/>
    <w:rsid w:val="00ED7FA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6C36D192"/>
  <w15:chartTrackingRefBased/>
  <w15:docId w15:val="{7947A013-49B2-4350-9044-FD0D767B03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noProof/>
    </w:rPr>
  </w:style>
  <w:style w:type="paragraph" w:styleId="1">
    <w:name w:val="heading 1"/>
    <w:basedOn w:val="a"/>
    <w:next w:val="a"/>
    <w:link w:val="10"/>
    <w:uiPriority w:val="9"/>
    <w:qFormat/>
    <w:rsid w:val="00AF35AA"/>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AF35AA"/>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AF35AA"/>
    <w:pPr>
      <w:keepNext/>
      <w:keepLines/>
      <w:spacing w:before="160" w:after="80"/>
      <w:outlineLvl w:val="2"/>
    </w:pPr>
    <w:rPr>
      <w:rFonts w:asciiTheme="majorHAnsi" w:eastAsiaTheme="majorEastAsia" w:hAnsiTheme="majorHAnsi" w:cstheme="majorBidi"/>
      <w:color w:val="000000" w:themeColor="text1"/>
      <w:sz w:val="24"/>
      <w:szCs w:val="24"/>
    </w:rPr>
  </w:style>
  <w:style w:type="paragraph" w:styleId="4">
    <w:name w:val="heading 4"/>
    <w:basedOn w:val="a"/>
    <w:next w:val="a"/>
    <w:link w:val="40"/>
    <w:uiPriority w:val="9"/>
    <w:semiHidden/>
    <w:unhideWhenUsed/>
    <w:qFormat/>
    <w:rsid w:val="00AF35AA"/>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AF35AA"/>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AF35AA"/>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AF35AA"/>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AF35AA"/>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AF35AA"/>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AF35AA"/>
    <w:rPr>
      <w:rFonts w:asciiTheme="majorHAnsi" w:eastAsiaTheme="majorEastAsia" w:hAnsiTheme="majorHAnsi" w:cstheme="majorBidi"/>
      <w:noProof/>
      <w:color w:val="000000" w:themeColor="text1"/>
      <w:sz w:val="32"/>
      <w:szCs w:val="32"/>
    </w:rPr>
  </w:style>
  <w:style w:type="character" w:customStyle="1" w:styleId="20">
    <w:name w:val="見出し 2 (文字)"/>
    <w:basedOn w:val="a0"/>
    <w:link w:val="2"/>
    <w:uiPriority w:val="9"/>
    <w:semiHidden/>
    <w:rsid w:val="00AF35AA"/>
    <w:rPr>
      <w:rFonts w:asciiTheme="majorHAnsi" w:eastAsiaTheme="majorEastAsia" w:hAnsiTheme="majorHAnsi" w:cstheme="majorBidi"/>
      <w:noProof/>
      <w:color w:val="000000" w:themeColor="text1"/>
      <w:sz w:val="28"/>
      <w:szCs w:val="28"/>
    </w:rPr>
  </w:style>
  <w:style w:type="character" w:customStyle="1" w:styleId="30">
    <w:name w:val="見出し 3 (文字)"/>
    <w:basedOn w:val="a0"/>
    <w:link w:val="3"/>
    <w:uiPriority w:val="9"/>
    <w:semiHidden/>
    <w:rsid w:val="00AF35AA"/>
    <w:rPr>
      <w:rFonts w:asciiTheme="majorHAnsi" w:eastAsiaTheme="majorEastAsia" w:hAnsiTheme="majorHAnsi" w:cstheme="majorBidi"/>
      <w:noProof/>
      <w:color w:val="000000" w:themeColor="text1"/>
      <w:sz w:val="24"/>
      <w:szCs w:val="24"/>
    </w:rPr>
  </w:style>
  <w:style w:type="character" w:customStyle="1" w:styleId="40">
    <w:name w:val="見出し 4 (文字)"/>
    <w:basedOn w:val="a0"/>
    <w:link w:val="4"/>
    <w:uiPriority w:val="9"/>
    <w:semiHidden/>
    <w:rsid w:val="00AF35AA"/>
    <w:rPr>
      <w:rFonts w:asciiTheme="majorHAnsi" w:eastAsiaTheme="majorEastAsia" w:hAnsiTheme="majorHAnsi" w:cstheme="majorBidi"/>
      <w:noProof/>
      <w:color w:val="000000" w:themeColor="text1"/>
    </w:rPr>
  </w:style>
  <w:style w:type="character" w:customStyle="1" w:styleId="50">
    <w:name w:val="見出し 5 (文字)"/>
    <w:basedOn w:val="a0"/>
    <w:link w:val="5"/>
    <w:uiPriority w:val="9"/>
    <w:semiHidden/>
    <w:rsid w:val="00AF35AA"/>
    <w:rPr>
      <w:rFonts w:asciiTheme="majorHAnsi" w:eastAsiaTheme="majorEastAsia" w:hAnsiTheme="majorHAnsi" w:cstheme="majorBidi"/>
      <w:noProof/>
      <w:color w:val="000000" w:themeColor="text1"/>
    </w:rPr>
  </w:style>
  <w:style w:type="character" w:customStyle="1" w:styleId="60">
    <w:name w:val="見出し 6 (文字)"/>
    <w:basedOn w:val="a0"/>
    <w:link w:val="6"/>
    <w:uiPriority w:val="9"/>
    <w:semiHidden/>
    <w:rsid w:val="00AF35AA"/>
    <w:rPr>
      <w:rFonts w:asciiTheme="majorHAnsi" w:eastAsiaTheme="majorEastAsia" w:hAnsiTheme="majorHAnsi" w:cstheme="majorBidi"/>
      <w:noProof/>
      <w:color w:val="000000" w:themeColor="text1"/>
    </w:rPr>
  </w:style>
  <w:style w:type="character" w:customStyle="1" w:styleId="70">
    <w:name w:val="見出し 7 (文字)"/>
    <w:basedOn w:val="a0"/>
    <w:link w:val="7"/>
    <w:uiPriority w:val="9"/>
    <w:semiHidden/>
    <w:rsid w:val="00AF35AA"/>
    <w:rPr>
      <w:rFonts w:asciiTheme="majorHAnsi" w:eastAsiaTheme="majorEastAsia" w:hAnsiTheme="majorHAnsi" w:cstheme="majorBidi"/>
      <w:noProof/>
      <w:color w:val="000000" w:themeColor="text1"/>
    </w:rPr>
  </w:style>
  <w:style w:type="character" w:customStyle="1" w:styleId="80">
    <w:name w:val="見出し 8 (文字)"/>
    <w:basedOn w:val="a0"/>
    <w:link w:val="8"/>
    <w:uiPriority w:val="9"/>
    <w:semiHidden/>
    <w:rsid w:val="00AF35AA"/>
    <w:rPr>
      <w:rFonts w:asciiTheme="majorHAnsi" w:eastAsiaTheme="majorEastAsia" w:hAnsiTheme="majorHAnsi" w:cstheme="majorBidi"/>
      <w:noProof/>
      <w:color w:val="000000" w:themeColor="text1"/>
    </w:rPr>
  </w:style>
  <w:style w:type="character" w:customStyle="1" w:styleId="90">
    <w:name w:val="見出し 9 (文字)"/>
    <w:basedOn w:val="a0"/>
    <w:link w:val="9"/>
    <w:uiPriority w:val="9"/>
    <w:semiHidden/>
    <w:rsid w:val="00AF35AA"/>
    <w:rPr>
      <w:rFonts w:asciiTheme="majorHAnsi" w:eastAsiaTheme="majorEastAsia" w:hAnsiTheme="majorHAnsi" w:cstheme="majorBidi"/>
      <w:noProof/>
      <w:color w:val="000000" w:themeColor="text1"/>
    </w:rPr>
  </w:style>
  <w:style w:type="paragraph" w:styleId="a3">
    <w:name w:val="Title"/>
    <w:basedOn w:val="a"/>
    <w:next w:val="a"/>
    <w:link w:val="a4"/>
    <w:uiPriority w:val="10"/>
    <w:qFormat/>
    <w:rsid w:val="00AF35AA"/>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AF35AA"/>
    <w:rPr>
      <w:rFonts w:asciiTheme="majorHAnsi" w:eastAsiaTheme="majorEastAsia" w:hAnsiTheme="majorHAnsi" w:cstheme="majorBidi"/>
      <w:noProof/>
      <w:spacing w:val="-10"/>
      <w:kern w:val="28"/>
      <w:sz w:val="56"/>
      <w:szCs w:val="56"/>
    </w:rPr>
  </w:style>
  <w:style w:type="paragraph" w:styleId="a5">
    <w:name w:val="Subtitle"/>
    <w:basedOn w:val="a"/>
    <w:next w:val="a"/>
    <w:link w:val="a6"/>
    <w:uiPriority w:val="11"/>
    <w:qFormat/>
    <w:rsid w:val="00AF35AA"/>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AF35AA"/>
    <w:rPr>
      <w:rFonts w:asciiTheme="majorHAnsi" w:eastAsiaTheme="majorEastAsia" w:hAnsiTheme="majorHAnsi" w:cstheme="majorBidi"/>
      <w:noProof/>
      <w:color w:val="595959" w:themeColor="text1" w:themeTint="A6"/>
      <w:spacing w:val="15"/>
      <w:sz w:val="28"/>
      <w:szCs w:val="28"/>
    </w:rPr>
  </w:style>
  <w:style w:type="paragraph" w:styleId="a7">
    <w:name w:val="Quote"/>
    <w:basedOn w:val="a"/>
    <w:next w:val="a"/>
    <w:link w:val="a8"/>
    <w:uiPriority w:val="29"/>
    <w:qFormat/>
    <w:rsid w:val="00AF35AA"/>
    <w:pPr>
      <w:spacing w:before="160" w:after="160"/>
      <w:jc w:val="center"/>
    </w:pPr>
    <w:rPr>
      <w:i/>
      <w:iCs/>
      <w:color w:val="404040" w:themeColor="text1" w:themeTint="BF"/>
    </w:rPr>
  </w:style>
  <w:style w:type="character" w:customStyle="1" w:styleId="a8">
    <w:name w:val="引用文 (文字)"/>
    <w:basedOn w:val="a0"/>
    <w:link w:val="a7"/>
    <w:uiPriority w:val="29"/>
    <w:rsid w:val="00AF35AA"/>
    <w:rPr>
      <w:i/>
      <w:iCs/>
      <w:noProof/>
      <w:color w:val="404040" w:themeColor="text1" w:themeTint="BF"/>
    </w:rPr>
  </w:style>
  <w:style w:type="paragraph" w:styleId="a9">
    <w:name w:val="List Paragraph"/>
    <w:basedOn w:val="a"/>
    <w:uiPriority w:val="34"/>
    <w:qFormat/>
    <w:rsid w:val="00AF35AA"/>
    <w:pPr>
      <w:ind w:left="720"/>
      <w:contextualSpacing/>
    </w:pPr>
  </w:style>
  <w:style w:type="character" w:styleId="21">
    <w:name w:val="Intense Emphasis"/>
    <w:basedOn w:val="a0"/>
    <w:uiPriority w:val="21"/>
    <w:qFormat/>
    <w:rsid w:val="00AF35AA"/>
    <w:rPr>
      <w:i/>
      <w:iCs/>
      <w:color w:val="0F4761" w:themeColor="accent1" w:themeShade="BF"/>
    </w:rPr>
  </w:style>
  <w:style w:type="paragraph" w:styleId="22">
    <w:name w:val="Intense Quote"/>
    <w:basedOn w:val="a"/>
    <w:next w:val="a"/>
    <w:link w:val="23"/>
    <w:uiPriority w:val="30"/>
    <w:qFormat/>
    <w:rsid w:val="00AF35A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AF35AA"/>
    <w:rPr>
      <w:i/>
      <w:iCs/>
      <w:noProof/>
      <w:color w:val="0F4761" w:themeColor="accent1" w:themeShade="BF"/>
    </w:rPr>
  </w:style>
  <w:style w:type="character" w:styleId="24">
    <w:name w:val="Intense Reference"/>
    <w:basedOn w:val="a0"/>
    <w:uiPriority w:val="32"/>
    <w:qFormat/>
    <w:rsid w:val="00AF35AA"/>
    <w:rPr>
      <w:b/>
      <w:bCs/>
      <w:smallCaps/>
      <w:color w:val="0F4761" w:themeColor="accent1" w:themeShade="BF"/>
      <w:spacing w:val="5"/>
    </w:rPr>
  </w:style>
  <w:style w:type="paragraph" w:styleId="aa">
    <w:name w:val="header"/>
    <w:basedOn w:val="a"/>
    <w:link w:val="ab"/>
    <w:uiPriority w:val="99"/>
    <w:unhideWhenUsed/>
    <w:rsid w:val="00D451B3"/>
    <w:pPr>
      <w:tabs>
        <w:tab w:val="center" w:pos="4252"/>
        <w:tab w:val="right" w:pos="8504"/>
      </w:tabs>
      <w:snapToGrid w:val="0"/>
    </w:pPr>
  </w:style>
  <w:style w:type="character" w:customStyle="1" w:styleId="ab">
    <w:name w:val="ヘッダー (文字)"/>
    <w:basedOn w:val="a0"/>
    <w:link w:val="aa"/>
    <w:uiPriority w:val="99"/>
    <w:rsid w:val="00D451B3"/>
    <w:rPr>
      <w:noProof/>
    </w:rPr>
  </w:style>
  <w:style w:type="paragraph" w:styleId="ac">
    <w:name w:val="footer"/>
    <w:basedOn w:val="a"/>
    <w:link w:val="ad"/>
    <w:uiPriority w:val="99"/>
    <w:unhideWhenUsed/>
    <w:rsid w:val="00D451B3"/>
    <w:pPr>
      <w:tabs>
        <w:tab w:val="center" w:pos="4252"/>
        <w:tab w:val="right" w:pos="8504"/>
      </w:tabs>
      <w:snapToGrid w:val="0"/>
    </w:pPr>
  </w:style>
  <w:style w:type="character" w:customStyle="1" w:styleId="ad">
    <w:name w:val="フッター (文字)"/>
    <w:basedOn w:val="a0"/>
    <w:link w:val="ac"/>
    <w:uiPriority w:val="99"/>
    <w:rsid w:val="00D451B3"/>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5</Pages>
  <Words>354</Words>
  <Characters>2019</Characters>
  <Application>Microsoft Office Word</Application>
  <DocSecurity>0</DocSecurity>
  <Lines>16</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雅喜 日下部</dc:creator>
  <cp:keywords/>
  <dc:description/>
  <cp:lastModifiedBy>雅喜 日下部</cp:lastModifiedBy>
  <cp:revision>4</cp:revision>
  <dcterms:created xsi:type="dcterms:W3CDTF">2025-05-10T01:10:00Z</dcterms:created>
  <dcterms:modified xsi:type="dcterms:W3CDTF">2025-05-10T02:16:00Z</dcterms:modified>
</cp:coreProperties>
</file>